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E4F4" w14:textId="77777777" w:rsidR="004D21A8" w:rsidRPr="004D21A8" w:rsidRDefault="007166EC" w:rsidP="004D21A8">
      <w:pPr>
        <w:pStyle w:val="H1NoNumb"/>
        <w:jc w:val="center"/>
      </w:pPr>
      <w:bookmarkStart w:id="0" w:name="_Toc304199309"/>
      <w:r>
        <w:br/>
      </w:r>
      <w:r w:rsidRPr="00C2502A">
        <w:br/>
        <w:t>Meeting of the</w:t>
      </w:r>
      <w:r>
        <w:t xml:space="preserve"> Audit, Risk and Governance Committee</w:t>
      </w:r>
      <w:r w:rsidRPr="004D21A8">
        <w:br/>
      </w:r>
      <w:bookmarkEnd w:id="0"/>
      <w:r w:rsidR="005E1B56">
        <w:t>(24 April 2023)</w:t>
      </w:r>
    </w:p>
    <w:p w14:paraId="01E22E99" w14:textId="77777777" w:rsidR="00C756A1" w:rsidRDefault="00C756A1" w:rsidP="00844118">
      <w:pPr>
        <w:rPr>
          <w:b/>
          <w:szCs w:val="22"/>
        </w:rPr>
      </w:pPr>
    </w:p>
    <w:p w14:paraId="5D2261C5" w14:textId="77777777" w:rsidR="004D21A8" w:rsidRDefault="007166EC" w:rsidP="004D21A8">
      <w:pPr>
        <w:pStyle w:val="BodyText"/>
        <w:jc w:val="center"/>
      </w:pPr>
      <w:r w:rsidRPr="00D50DF0">
        <w:rPr>
          <w:b/>
        </w:rPr>
        <w:t>Chair:</w:t>
      </w:r>
      <w:r>
        <w:t xml:space="preserve"> </w:t>
      </w:r>
      <w:r w:rsidR="00C2502A">
        <w:t>County Councillor Alan Schofield</w:t>
      </w:r>
    </w:p>
    <w:p w14:paraId="0B0DB9A2" w14:textId="77777777" w:rsidR="004D21A8" w:rsidRDefault="004D21A8" w:rsidP="004D21A8">
      <w:pPr>
        <w:pStyle w:val="BodyText"/>
      </w:pPr>
    </w:p>
    <w:p w14:paraId="28973805" w14:textId="77777777" w:rsidR="004D21A8" w:rsidRDefault="007166EC" w:rsidP="004D21A8">
      <w:pPr>
        <w:pStyle w:val="H2NoNumb"/>
        <w:spacing w:before="0"/>
      </w:pPr>
      <w:r>
        <w:t>Part I (Open to Press and Public)</w:t>
      </w:r>
    </w:p>
    <w:p w14:paraId="4C4CEC2F" w14:textId="77777777" w:rsidR="004D21A8" w:rsidRDefault="004D21A8" w:rsidP="004D21A8">
      <w:pPr>
        <w:pStyle w:val="BodyText"/>
      </w:pPr>
    </w:p>
    <w:p w14:paraId="3E0DB525" w14:textId="77777777" w:rsidR="005E1B56" w:rsidRPr="007B62B5" w:rsidRDefault="007166EC" w:rsidP="005E1B56">
      <w:pPr>
        <w:rPr>
          <w:b/>
          <w:caps/>
          <w:sz w:val="28"/>
          <w:szCs w:val="28"/>
        </w:rPr>
      </w:pPr>
      <w:r>
        <w:rPr>
          <w:rFonts w:cs="Arial"/>
          <w:b/>
          <w:szCs w:val="28"/>
          <w:bdr w:val="nil"/>
        </w:rPr>
        <w:t>External Audit: Interim Auditor's Annual Report on Lancashire County Council 2021/22</w:t>
      </w:r>
    </w:p>
    <w:p w14:paraId="2EEB1FC3" w14:textId="77777777" w:rsidR="004D21A8" w:rsidRDefault="004D21A8" w:rsidP="004D21A8">
      <w:pPr>
        <w:pStyle w:val="BodyText"/>
      </w:pPr>
    </w:p>
    <w:p w14:paraId="0D2E5515" w14:textId="77777777" w:rsidR="005E1B56" w:rsidRDefault="007166EC" w:rsidP="004D21A8">
      <w:pPr>
        <w:pStyle w:val="BodyText"/>
      </w:pPr>
      <w:r>
        <w:t>The committee considered the Interim Auditor's Annual Report on Lancashire County Council for 2021/22, presented by Sarah Ironmonger, Partner at Grant Thornton UK.</w:t>
      </w:r>
    </w:p>
    <w:p w14:paraId="4582C6EB" w14:textId="77777777" w:rsidR="004D21A8" w:rsidRDefault="004D21A8" w:rsidP="004D21A8">
      <w:pPr>
        <w:pStyle w:val="BodyText"/>
      </w:pPr>
    </w:p>
    <w:p w14:paraId="4515F95E" w14:textId="77777777" w:rsidR="005E1B56" w:rsidRPr="00856953" w:rsidRDefault="007166EC" w:rsidP="005E1B56">
      <w:pPr>
        <w:jc w:val="both"/>
      </w:pPr>
      <w:r>
        <w:rPr>
          <w:b/>
          <w:bCs w:val="0"/>
        </w:rPr>
        <w:t xml:space="preserve">Resolved: </w:t>
      </w:r>
      <w:r>
        <w:t>That the auditor's findings on the council's arrangements for securing value for money in its use of resources, and the improvement recommendations made, be noted.</w:t>
      </w:r>
    </w:p>
    <w:p w14:paraId="770C5660" w14:textId="77777777" w:rsidR="004D21A8" w:rsidRDefault="004D21A8" w:rsidP="004D21A8">
      <w:pPr>
        <w:pStyle w:val="BodyText"/>
      </w:pPr>
    </w:p>
    <w:p w14:paraId="2F5A88CD" w14:textId="77777777" w:rsidR="004D21A8" w:rsidRPr="0063105A" w:rsidRDefault="007166EC" w:rsidP="004D21A8">
      <w:pPr>
        <w:pStyle w:val="BodyText"/>
        <w:rPr>
          <w:b/>
          <w:bCs w:val="0"/>
        </w:rPr>
      </w:pPr>
      <w:r>
        <w:rPr>
          <w:b/>
        </w:rPr>
        <w:t>Internal Audit Progress Report</w:t>
      </w:r>
    </w:p>
    <w:p w14:paraId="3F3EF7EA" w14:textId="77777777" w:rsidR="004D21A8" w:rsidRDefault="004D21A8" w:rsidP="004D21A8">
      <w:pPr>
        <w:pStyle w:val="BodyText"/>
      </w:pPr>
    </w:p>
    <w:p w14:paraId="6DB9A4DF" w14:textId="77777777" w:rsidR="004D21A8" w:rsidRDefault="007166EC" w:rsidP="005E1B56">
      <w:pPr>
        <w:jc w:val="both"/>
      </w:pPr>
      <w:r>
        <w:t>The committee considered a report which provided an update on the Internal Audit Service's work and outcomes for 2022/23, presented by Andy Dalecki, Head of Internal Audit.</w:t>
      </w:r>
    </w:p>
    <w:p w14:paraId="05F6E930" w14:textId="77777777" w:rsidR="004D21A8" w:rsidRPr="009F68C6" w:rsidRDefault="004D21A8" w:rsidP="004D21A8">
      <w:pPr>
        <w:pStyle w:val="BodyText"/>
      </w:pPr>
    </w:p>
    <w:p w14:paraId="6C5C98BF" w14:textId="77777777" w:rsidR="005E1B56" w:rsidRDefault="007166EC" w:rsidP="005E1B56">
      <w:pPr>
        <w:jc w:val="both"/>
      </w:pPr>
      <w:r>
        <w:rPr>
          <w:b/>
          <w:bCs w:val="0"/>
        </w:rPr>
        <w:t xml:space="preserve">Resolved: </w:t>
      </w:r>
      <w:r>
        <w:t>That the Internal Audit Progress Report be noted.</w:t>
      </w:r>
    </w:p>
    <w:p w14:paraId="375CCE13" w14:textId="77777777" w:rsidR="005E1B56" w:rsidRDefault="005E1B56" w:rsidP="005E1B56">
      <w:pPr>
        <w:jc w:val="both"/>
      </w:pPr>
    </w:p>
    <w:p w14:paraId="7E5A7DF3" w14:textId="77777777" w:rsidR="005E1B56" w:rsidRPr="007B62B5" w:rsidRDefault="007166EC" w:rsidP="005E1B56">
      <w:pPr>
        <w:rPr>
          <w:b/>
          <w:caps/>
          <w:sz w:val="28"/>
          <w:szCs w:val="28"/>
        </w:rPr>
      </w:pPr>
      <w:r>
        <w:rPr>
          <w:rFonts w:cs="Arial"/>
          <w:b/>
          <w:szCs w:val="28"/>
          <w:bdr w:val="nil"/>
        </w:rPr>
        <w:t>Internal Audit's External Quality Assessment</w:t>
      </w:r>
    </w:p>
    <w:p w14:paraId="709EC551" w14:textId="77777777" w:rsidR="005E1B56" w:rsidRDefault="005E1B56" w:rsidP="005E1B56">
      <w:pPr>
        <w:jc w:val="both"/>
      </w:pPr>
    </w:p>
    <w:p w14:paraId="16049FF3" w14:textId="77777777" w:rsidR="005E1B56" w:rsidRDefault="007166EC" w:rsidP="005E1B56">
      <w:pPr>
        <w:jc w:val="both"/>
      </w:pPr>
      <w:r>
        <w:t>The committee considered the findings of the External Quality Assessment of the Internal Audit Service, which was undertaken by the Chartered Institute of Internal Auditors in February 2023, presented by Andy Dalecki, Head of Internal Audit.</w:t>
      </w:r>
    </w:p>
    <w:p w14:paraId="4A78F9EE" w14:textId="77777777" w:rsidR="005E1B56" w:rsidRDefault="005E1B56" w:rsidP="005E1B56">
      <w:pPr>
        <w:jc w:val="both"/>
      </w:pPr>
    </w:p>
    <w:p w14:paraId="1E18F256" w14:textId="77777777" w:rsidR="005E1B56" w:rsidRDefault="007166EC" w:rsidP="005E1B56">
      <w:pPr>
        <w:jc w:val="both"/>
      </w:pPr>
      <w:r>
        <w:rPr>
          <w:b/>
          <w:bCs w:val="0"/>
        </w:rPr>
        <w:t xml:space="preserve">Resolved: </w:t>
      </w:r>
      <w:r>
        <w:t>That the report on the External Quality Assessment, and actions proposed, be noted.</w:t>
      </w:r>
    </w:p>
    <w:p w14:paraId="3E157CAC" w14:textId="77777777" w:rsidR="005E1B56" w:rsidRDefault="005E1B56" w:rsidP="005E1B56">
      <w:pPr>
        <w:jc w:val="both"/>
      </w:pPr>
    </w:p>
    <w:p w14:paraId="595CAB7F" w14:textId="77777777" w:rsidR="005E1B56" w:rsidRPr="007B62B5" w:rsidRDefault="007166EC" w:rsidP="005E1B56">
      <w:pPr>
        <w:rPr>
          <w:b/>
          <w:caps/>
          <w:sz w:val="28"/>
          <w:szCs w:val="28"/>
        </w:rPr>
      </w:pPr>
      <w:r>
        <w:rPr>
          <w:rFonts w:cs="Arial"/>
          <w:b/>
          <w:szCs w:val="28"/>
          <w:bdr w:val="nil"/>
        </w:rPr>
        <w:t>Internal Audit Annual Plan</w:t>
      </w:r>
    </w:p>
    <w:p w14:paraId="532C1F3F" w14:textId="77777777" w:rsidR="005E1B56" w:rsidRDefault="005E1B56" w:rsidP="005E1B56">
      <w:pPr>
        <w:jc w:val="both"/>
      </w:pPr>
    </w:p>
    <w:p w14:paraId="5EB7943E" w14:textId="77777777" w:rsidR="005E1B56" w:rsidRDefault="007166EC" w:rsidP="005E1B56">
      <w:pPr>
        <w:jc w:val="both"/>
      </w:pPr>
      <w:r>
        <w:t>The committee considered the Internal Audit Annual Plan for 2023/24, presented by Andy Dalecki, Head of Internal Audit.</w:t>
      </w:r>
    </w:p>
    <w:p w14:paraId="43BEFEFE" w14:textId="77777777" w:rsidR="005E1B56" w:rsidRDefault="005E1B56" w:rsidP="005E1B56">
      <w:pPr>
        <w:jc w:val="both"/>
      </w:pPr>
    </w:p>
    <w:p w14:paraId="11492267" w14:textId="77777777" w:rsidR="005E1B56" w:rsidRDefault="007166EC" w:rsidP="005E1B56">
      <w:pPr>
        <w:jc w:val="both"/>
      </w:pPr>
      <w:r>
        <w:rPr>
          <w:b/>
          <w:bCs w:val="0"/>
        </w:rPr>
        <w:t xml:space="preserve">Resolved: </w:t>
      </w:r>
      <w:r>
        <w:t>That the Internal Audit Annual Plan for 2023/24, as set out in the report, be approved.</w:t>
      </w:r>
    </w:p>
    <w:p w14:paraId="3DB991E0" w14:textId="77777777" w:rsidR="005E1B56" w:rsidRDefault="005E1B56" w:rsidP="005E1B56">
      <w:pPr>
        <w:jc w:val="both"/>
      </w:pPr>
    </w:p>
    <w:p w14:paraId="131E0AA8" w14:textId="77777777" w:rsidR="005E1B56" w:rsidRPr="007B62B5" w:rsidRDefault="007166EC" w:rsidP="005E1B56">
      <w:pPr>
        <w:rPr>
          <w:b/>
          <w:caps/>
          <w:sz w:val="28"/>
          <w:szCs w:val="28"/>
        </w:rPr>
      </w:pPr>
      <w:r>
        <w:rPr>
          <w:rFonts w:cs="Arial"/>
          <w:b/>
          <w:szCs w:val="28"/>
          <w:bdr w:val="nil"/>
        </w:rPr>
        <w:lastRenderedPageBreak/>
        <w:t>The Council's Annual Governance Statement 2022/23 and Code of Corporate Governance 2023/24</w:t>
      </w:r>
    </w:p>
    <w:p w14:paraId="028B7F10" w14:textId="77777777" w:rsidR="005E1B56" w:rsidRDefault="005E1B56" w:rsidP="005E1B56">
      <w:pPr>
        <w:jc w:val="both"/>
      </w:pPr>
    </w:p>
    <w:p w14:paraId="3C964CD9" w14:textId="77777777" w:rsidR="005E1B56" w:rsidRDefault="007166EC" w:rsidP="005E1B56">
      <w:pPr>
        <w:jc w:val="both"/>
      </w:pPr>
      <w:r>
        <w:t>The committee considered the council's draft Annual Governance Statement for 2022/23 and updated Code of Corporate Governance for 2023/24, presented by Paul Bond, Head of Legal, Governance and Registrars.</w:t>
      </w:r>
    </w:p>
    <w:p w14:paraId="6D0EF7F9" w14:textId="77777777" w:rsidR="005E1B56" w:rsidRDefault="005E1B56" w:rsidP="005E1B56">
      <w:pPr>
        <w:jc w:val="both"/>
      </w:pPr>
    </w:p>
    <w:p w14:paraId="724C05D0" w14:textId="77777777" w:rsidR="005E1B56" w:rsidRDefault="007166EC" w:rsidP="005E1B56">
      <w:pPr>
        <w:jc w:val="both"/>
        <w:rPr>
          <w:rFonts w:cs="Arial"/>
        </w:rPr>
      </w:pPr>
      <w:r>
        <w:rPr>
          <w:rFonts w:cs="Arial"/>
        </w:rPr>
        <w:t>The Code of Corporate Governance for 2023/34 was recommended to Full Council and can be found in Part A of the agenda.</w:t>
      </w:r>
    </w:p>
    <w:p w14:paraId="6987EE3A" w14:textId="77777777" w:rsidR="005E1B56" w:rsidRDefault="005E1B56" w:rsidP="005E1B56">
      <w:pPr>
        <w:jc w:val="both"/>
      </w:pPr>
    </w:p>
    <w:p w14:paraId="1ECB160B" w14:textId="77777777" w:rsidR="005E1B56" w:rsidRDefault="007166EC" w:rsidP="005E1B56">
      <w:r>
        <w:rPr>
          <w:b/>
          <w:bCs w:val="0"/>
        </w:rPr>
        <w:t xml:space="preserve">Resolved: </w:t>
      </w:r>
      <w:r>
        <w:t>That</w:t>
      </w:r>
    </w:p>
    <w:p w14:paraId="701957D8" w14:textId="77777777" w:rsidR="005E1B56" w:rsidRDefault="005E1B56" w:rsidP="005E1B56"/>
    <w:p w14:paraId="174BEDFC" w14:textId="77777777" w:rsidR="005E1B56" w:rsidRDefault="007166EC" w:rsidP="005E1B56">
      <w:pPr>
        <w:numPr>
          <w:ilvl w:val="0"/>
          <w:numId w:val="5"/>
        </w:numPr>
        <w:jc w:val="both"/>
      </w:pPr>
      <w:r>
        <w:t>The draft Annual Governance Statement for 2022/23, as presented, be approved for inclusion in the draft Statement of Accounts for 2022/23;</w:t>
      </w:r>
    </w:p>
    <w:p w14:paraId="56F5A168" w14:textId="77777777" w:rsidR="005E1B56" w:rsidRDefault="005E1B56" w:rsidP="005E1B56">
      <w:pPr>
        <w:ind w:left="720"/>
        <w:jc w:val="both"/>
      </w:pPr>
    </w:p>
    <w:p w14:paraId="283DE9DA" w14:textId="77777777" w:rsidR="005E1B56" w:rsidRDefault="007166EC" w:rsidP="005E1B56">
      <w:pPr>
        <w:numPr>
          <w:ilvl w:val="0"/>
          <w:numId w:val="5"/>
        </w:numPr>
        <w:jc w:val="both"/>
      </w:pPr>
      <w:r>
        <w:t>The Director of Law and Governance be authorised to make any subsequential changes to the Annual Governance Statement for 2022/23, in consultation with the Chair of the Audit, Risk and Governance Committee;</w:t>
      </w:r>
    </w:p>
    <w:p w14:paraId="6A410637" w14:textId="77777777" w:rsidR="005E1B56" w:rsidRDefault="005E1B56" w:rsidP="005E1B56">
      <w:pPr>
        <w:pStyle w:val="ListParagraph"/>
      </w:pPr>
    </w:p>
    <w:p w14:paraId="5B986AC2" w14:textId="77777777" w:rsidR="005E1B56" w:rsidRDefault="007166EC" w:rsidP="005E1B56">
      <w:pPr>
        <w:numPr>
          <w:ilvl w:val="0"/>
          <w:numId w:val="5"/>
        </w:numPr>
      </w:pPr>
      <w:r>
        <w:t>The signing of the Annual Governance Statement by the Chief Executive and the Leader of the Council, following final approval of the Statement of Accounts, be noted; and</w:t>
      </w:r>
    </w:p>
    <w:p w14:paraId="01447B35" w14:textId="77777777" w:rsidR="005E1B56" w:rsidRDefault="005E1B56" w:rsidP="005E1B56">
      <w:pPr>
        <w:pStyle w:val="ListParagraph"/>
      </w:pPr>
    </w:p>
    <w:p w14:paraId="3B3754DB" w14:textId="64569E2F" w:rsidR="005E1B56" w:rsidRDefault="007166EC" w:rsidP="005E1B56">
      <w:pPr>
        <w:numPr>
          <w:ilvl w:val="0"/>
          <w:numId w:val="5"/>
        </w:numPr>
      </w:pPr>
      <w:r>
        <w:t>The updated Code of Corporate Governance for 202</w:t>
      </w:r>
      <w:r w:rsidR="00EA2E9A">
        <w:t>3</w:t>
      </w:r>
      <w:r>
        <w:t>/2</w:t>
      </w:r>
      <w:r w:rsidR="00EA2E9A">
        <w:t>4</w:t>
      </w:r>
      <w:r>
        <w:t>, as presented, be recommended to Full Council for approval.</w:t>
      </w:r>
    </w:p>
    <w:p w14:paraId="54BF1CAA" w14:textId="77777777" w:rsidR="005E1B56" w:rsidRDefault="005E1B56" w:rsidP="005E1B56">
      <w:pPr>
        <w:jc w:val="both"/>
      </w:pPr>
    </w:p>
    <w:p w14:paraId="42BB9986" w14:textId="77777777" w:rsidR="005E1B56" w:rsidRPr="007B62B5" w:rsidRDefault="007166EC" w:rsidP="005E1B56">
      <w:pPr>
        <w:rPr>
          <w:b/>
          <w:caps/>
          <w:sz w:val="28"/>
          <w:szCs w:val="28"/>
        </w:rPr>
      </w:pPr>
      <w:r>
        <w:rPr>
          <w:rFonts w:cs="Arial"/>
          <w:b/>
          <w:szCs w:val="28"/>
          <w:bdr w:val="nil"/>
        </w:rPr>
        <w:t>Corporate Risk and Opportunity Register - Quarter 4 Update</w:t>
      </w:r>
    </w:p>
    <w:p w14:paraId="31FD7582" w14:textId="77777777" w:rsidR="005E1B56" w:rsidRDefault="005E1B56" w:rsidP="005E1B56">
      <w:pPr>
        <w:jc w:val="both"/>
      </w:pPr>
    </w:p>
    <w:p w14:paraId="6391CF2C" w14:textId="77777777" w:rsidR="005E1B56" w:rsidRDefault="007166EC" w:rsidP="005E1B56">
      <w:pPr>
        <w:jc w:val="both"/>
      </w:pPr>
      <w:r>
        <w:t>The committee considered the updated Corporate Risk and Opportunity Register for Quarter 4 of 2022/23, presented by Paul Bond, Head of Legal, Governance and Registrars.</w:t>
      </w:r>
    </w:p>
    <w:p w14:paraId="6BC5A7BE" w14:textId="77777777" w:rsidR="005E1B56" w:rsidRDefault="005E1B56" w:rsidP="005E1B56">
      <w:pPr>
        <w:jc w:val="both"/>
      </w:pPr>
    </w:p>
    <w:p w14:paraId="18C11F48" w14:textId="77777777" w:rsidR="005E1B56" w:rsidRDefault="007166EC" w:rsidP="005E1B56">
      <w:pPr>
        <w:jc w:val="both"/>
      </w:pPr>
      <w:r>
        <w:rPr>
          <w:b/>
          <w:bCs w:val="0"/>
        </w:rPr>
        <w:t xml:space="preserve">Resolved: </w:t>
      </w:r>
      <w:r>
        <w:t>That the updated Corporate Risk and Opportunity Register be noted.</w:t>
      </w:r>
    </w:p>
    <w:p w14:paraId="43D9DF5A" w14:textId="77777777" w:rsidR="005E1B56" w:rsidRDefault="005E1B56" w:rsidP="005E1B56">
      <w:pPr>
        <w:jc w:val="both"/>
      </w:pPr>
    </w:p>
    <w:p w14:paraId="185A6381" w14:textId="77777777" w:rsidR="005E1B56" w:rsidRPr="007B62B5" w:rsidRDefault="007166EC" w:rsidP="005E1B56">
      <w:pPr>
        <w:rPr>
          <w:b/>
          <w:caps/>
          <w:sz w:val="28"/>
          <w:szCs w:val="28"/>
        </w:rPr>
      </w:pPr>
      <w:r>
        <w:rPr>
          <w:rFonts w:cs="Arial"/>
          <w:b/>
          <w:szCs w:val="28"/>
          <w:bdr w:val="nil"/>
        </w:rPr>
        <w:t>Local Member Grants Scheme Annual Report</w:t>
      </w:r>
    </w:p>
    <w:p w14:paraId="5EA7FD3D" w14:textId="77777777" w:rsidR="005E1B56" w:rsidRDefault="005E1B56" w:rsidP="005E1B56">
      <w:pPr>
        <w:jc w:val="both"/>
      </w:pPr>
    </w:p>
    <w:p w14:paraId="6DAB01E5" w14:textId="77777777" w:rsidR="005E1B56" w:rsidRDefault="007166EC" w:rsidP="005E1B56">
      <w:pPr>
        <w:jc w:val="both"/>
      </w:pPr>
      <w:r>
        <w:t>The committee considered the Local Member Grants Scheme Annual Report for the period January 2021 to September 2022, presented by Josh Mynott, Democratic and Member Services Manager.</w:t>
      </w:r>
    </w:p>
    <w:p w14:paraId="5474AE3E" w14:textId="77777777" w:rsidR="005E1B56" w:rsidRDefault="005E1B56" w:rsidP="005E1B56">
      <w:pPr>
        <w:jc w:val="both"/>
      </w:pPr>
    </w:p>
    <w:p w14:paraId="1B4D6AB3" w14:textId="77777777" w:rsidR="005E1B56" w:rsidRDefault="007166EC" w:rsidP="005E1B56">
      <w:pPr>
        <w:jc w:val="both"/>
      </w:pPr>
      <w:r>
        <w:rPr>
          <w:b/>
          <w:bCs w:val="0"/>
        </w:rPr>
        <w:t xml:space="preserve">Resolved: </w:t>
      </w:r>
      <w:r>
        <w:t>That</w:t>
      </w:r>
    </w:p>
    <w:p w14:paraId="04031745" w14:textId="77777777" w:rsidR="005E1B56" w:rsidRDefault="005E1B56" w:rsidP="005E1B56">
      <w:pPr>
        <w:jc w:val="both"/>
      </w:pPr>
    </w:p>
    <w:p w14:paraId="05A05510" w14:textId="77777777" w:rsidR="005E1B56" w:rsidRDefault="007166EC" w:rsidP="005E1B56">
      <w:pPr>
        <w:numPr>
          <w:ilvl w:val="0"/>
          <w:numId w:val="6"/>
        </w:numPr>
        <w:jc w:val="both"/>
      </w:pPr>
      <w:r>
        <w:t>The Local Member Grants Scheme Annual Report be noted; and</w:t>
      </w:r>
    </w:p>
    <w:p w14:paraId="72EBF39E" w14:textId="77777777" w:rsidR="005E1B56" w:rsidRDefault="005E1B56" w:rsidP="005E1B56">
      <w:pPr>
        <w:ind w:left="720"/>
        <w:jc w:val="both"/>
      </w:pPr>
    </w:p>
    <w:p w14:paraId="60EDE610" w14:textId="77777777" w:rsidR="005E1B56" w:rsidRPr="005E1B56" w:rsidRDefault="007166EC" w:rsidP="005E1B56">
      <w:pPr>
        <w:numPr>
          <w:ilvl w:val="0"/>
          <w:numId w:val="6"/>
        </w:numPr>
        <w:jc w:val="both"/>
      </w:pPr>
      <w:r>
        <w:t xml:space="preserve">A further report on the Local Member Grants Scheme be provided at the Audit, Risk and Governance Committee meeting on </w:t>
      </w:r>
      <w:r w:rsidRPr="007C4AD5">
        <w:t xml:space="preserve">16 </w:t>
      </w:r>
      <w:r>
        <w:t>October 2023, to include updated figures for 2022/23.</w:t>
      </w:r>
    </w:p>
    <w:p w14:paraId="219FE2C9" w14:textId="77777777" w:rsidR="004D21A8" w:rsidRDefault="004D21A8" w:rsidP="004D21A8">
      <w:pPr>
        <w:pStyle w:val="BodyText"/>
      </w:pPr>
    </w:p>
    <w:p w14:paraId="0DCBECE0" w14:textId="77777777" w:rsidR="004D21A8" w:rsidRDefault="007166EC" w:rsidP="004D21A8">
      <w:pPr>
        <w:pStyle w:val="H2NoNumb"/>
        <w:spacing w:before="0"/>
      </w:pPr>
      <w:r>
        <w:t>Part II (Not Open to Press and Public)</w:t>
      </w:r>
    </w:p>
    <w:p w14:paraId="634AF529" w14:textId="77777777" w:rsidR="004D21A8" w:rsidRDefault="004D21A8" w:rsidP="004D21A8">
      <w:pPr>
        <w:pStyle w:val="BodyText"/>
      </w:pPr>
    </w:p>
    <w:p w14:paraId="4DAC110B" w14:textId="77777777" w:rsidR="005E1B56" w:rsidRPr="007B62B5" w:rsidRDefault="007166EC" w:rsidP="005E1B56">
      <w:pPr>
        <w:rPr>
          <w:b/>
          <w:caps/>
          <w:sz w:val="28"/>
          <w:szCs w:val="28"/>
        </w:rPr>
      </w:pPr>
      <w:r>
        <w:rPr>
          <w:rFonts w:cs="Arial"/>
          <w:b/>
          <w:szCs w:val="28"/>
          <w:bdr w:val="nil"/>
        </w:rPr>
        <w:t>Appendix 'B' to Item 9 - Corporate Risk and Opportunity Register - Quarter 4 Update</w:t>
      </w:r>
    </w:p>
    <w:p w14:paraId="5D16A318" w14:textId="77777777" w:rsidR="004D21A8" w:rsidRDefault="004D21A8" w:rsidP="004D21A8">
      <w:pPr>
        <w:pStyle w:val="BodyText"/>
      </w:pPr>
    </w:p>
    <w:p w14:paraId="487BB03A" w14:textId="77777777" w:rsidR="005E1B56" w:rsidRDefault="007166EC" w:rsidP="005E1B56">
      <w:pPr>
        <w:jc w:val="both"/>
      </w:pPr>
      <w:r>
        <w:t>(Not for Publication – Exempt information as defined in Paragraphs 3 and 7 of Part 1 of Schedule 12A to the Local Government Act, 1972. It is considered that in all the circumstances of the case the public interest in maintaining the exemption outweighs the public interests in disclosing the information).</w:t>
      </w:r>
    </w:p>
    <w:p w14:paraId="4C24791C" w14:textId="77777777" w:rsidR="005E1B56" w:rsidRDefault="005E1B56" w:rsidP="005E1B56"/>
    <w:p w14:paraId="2E47116C" w14:textId="77777777" w:rsidR="005E1B56" w:rsidRDefault="007166EC" w:rsidP="005E1B56">
      <w:pPr>
        <w:jc w:val="both"/>
      </w:pPr>
      <w:r>
        <w:t>The committee considered the private and confidential Appendix B to Item 9 – Corporate Risk and Opportunity Register – Quarter 4 Update.</w:t>
      </w:r>
    </w:p>
    <w:p w14:paraId="77742570" w14:textId="77777777" w:rsidR="005E1B56" w:rsidRDefault="005E1B56" w:rsidP="005E1B56">
      <w:pPr>
        <w:jc w:val="both"/>
      </w:pPr>
    </w:p>
    <w:p w14:paraId="3DCD2549" w14:textId="77777777" w:rsidR="005E1B56" w:rsidRPr="009A010E" w:rsidRDefault="007166EC" w:rsidP="005E1B56">
      <w:pPr>
        <w:jc w:val="both"/>
      </w:pPr>
      <w:r>
        <w:rPr>
          <w:b/>
          <w:bCs w:val="0"/>
        </w:rPr>
        <w:t xml:space="preserve">Resolved: </w:t>
      </w:r>
      <w:r>
        <w:t>That the Appendix B to Item 9 – Corporate Risk and Opportunity Register – Quarter 4 Update be noted.</w:t>
      </w:r>
    </w:p>
    <w:p w14:paraId="021C3512" w14:textId="77777777" w:rsidR="004D21A8" w:rsidRDefault="004D21A8" w:rsidP="004D21A8">
      <w:pPr>
        <w:pStyle w:val="BodyText"/>
      </w:pPr>
    </w:p>
    <w:p w14:paraId="0F2C94F6" w14:textId="77777777" w:rsidR="005E1B56" w:rsidRPr="007B62B5" w:rsidRDefault="007166EC" w:rsidP="005E1B56">
      <w:pPr>
        <w:rPr>
          <w:b/>
          <w:caps/>
          <w:sz w:val="28"/>
          <w:szCs w:val="28"/>
        </w:rPr>
      </w:pPr>
      <w:r>
        <w:rPr>
          <w:rFonts w:cs="Arial"/>
          <w:b/>
          <w:szCs w:val="28"/>
          <w:bdr w:val="nil"/>
        </w:rPr>
        <w:t>Data and Analytics Risks</w:t>
      </w:r>
    </w:p>
    <w:p w14:paraId="3C5B554C" w14:textId="77777777" w:rsidR="004D21A8" w:rsidRDefault="004D21A8" w:rsidP="004D21A8">
      <w:pPr>
        <w:pStyle w:val="BodyText"/>
      </w:pPr>
    </w:p>
    <w:p w14:paraId="16E40A5F" w14:textId="77777777" w:rsidR="005E1B56" w:rsidRDefault="007166EC" w:rsidP="005E1B56">
      <w:pPr>
        <w:jc w:val="both"/>
      </w:pPr>
      <w:r>
        <w:t>(Not for Publication – Exempt information as defined in Paragraph 3 of Part 1 of Schedule 12A to the Local Government Act, 1972. It is considered that in all the circumstances of the case the public interest in maintaining the exemption outweighs the public interests in disclosing the information).</w:t>
      </w:r>
    </w:p>
    <w:p w14:paraId="456E961C" w14:textId="77777777" w:rsidR="005E1B56" w:rsidRDefault="005E1B56" w:rsidP="005E1B56">
      <w:pPr>
        <w:jc w:val="both"/>
      </w:pPr>
    </w:p>
    <w:p w14:paraId="3E818178" w14:textId="77777777" w:rsidR="005E1B56" w:rsidRDefault="007166EC" w:rsidP="005E1B56">
      <w:pPr>
        <w:jc w:val="both"/>
      </w:pPr>
      <w:r>
        <w:t>The committee considered a private and confidential report on the risks associated with the council's use of data and analytics, presented by Mark Greenwood, Head of ICT Architecture and Data.</w:t>
      </w:r>
    </w:p>
    <w:p w14:paraId="0950B582" w14:textId="77777777" w:rsidR="004D21A8" w:rsidRDefault="004D21A8" w:rsidP="00844118">
      <w:pPr>
        <w:rPr>
          <w:b/>
        </w:rPr>
      </w:pPr>
    </w:p>
    <w:p w14:paraId="784FF8B1" w14:textId="77777777" w:rsidR="005E1B56" w:rsidRDefault="007166EC" w:rsidP="005E1B56">
      <w:pPr>
        <w:jc w:val="both"/>
      </w:pPr>
      <w:r>
        <w:rPr>
          <w:b/>
          <w:bCs w:val="0"/>
        </w:rPr>
        <w:t xml:space="preserve">Resolved: </w:t>
      </w:r>
      <w:r>
        <w:t>That</w:t>
      </w:r>
    </w:p>
    <w:p w14:paraId="2F048E8B" w14:textId="77777777" w:rsidR="005E1B56" w:rsidRDefault="005E1B56" w:rsidP="005E1B56">
      <w:pPr>
        <w:jc w:val="both"/>
      </w:pPr>
    </w:p>
    <w:p w14:paraId="5CDD483B" w14:textId="77777777" w:rsidR="005E1B56" w:rsidRDefault="007166EC" w:rsidP="005E1B56">
      <w:pPr>
        <w:numPr>
          <w:ilvl w:val="0"/>
          <w:numId w:val="7"/>
        </w:numPr>
        <w:jc w:val="both"/>
      </w:pPr>
      <w:r>
        <w:t>The report on data and analytics risks be noted; and</w:t>
      </w:r>
    </w:p>
    <w:p w14:paraId="3028E231" w14:textId="77777777" w:rsidR="005E1B56" w:rsidRDefault="005E1B56" w:rsidP="005E1B56">
      <w:pPr>
        <w:ind w:left="720"/>
        <w:jc w:val="both"/>
      </w:pPr>
    </w:p>
    <w:p w14:paraId="2B7A34B7" w14:textId="77777777" w:rsidR="005E1B56" w:rsidRDefault="007166EC" w:rsidP="005E1B56">
      <w:pPr>
        <w:numPr>
          <w:ilvl w:val="0"/>
          <w:numId w:val="7"/>
        </w:numPr>
        <w:jc w:val="both"/>
      </w:pPr>
      <w:r>
        <w:t>A further report on data and analytics risks be provided at the Audit, Risk and Governance Committee meeting on 22 April 2024, to include more specific target dates.</w:t>
      </w:r>
    </w:p>
    <w:p w14:paraId="0A450BD4" w14:textId="77777777" w:rsidR="005E1B56" w:rsidRDefault="005E1B56" w:rsidP="00844118"/>
    <w:p w14:paraId="15E37219" w14:textId="77777777" w:rsidR="005E1B56" w:rsidRPr="007B62B5" w:rsidRDefault="007166EC" w:rsidP="005E1B56">
      <w:pPr>
        <w:rPr>
          <w:b/>
          <w:caps/>
          <w:sz w:val="28"/>
          <w:szCs w:val="28"/>
        </w:rPr>
      </w:pPr>
      <w:r>
        <w:rPr>
          <w:rFonts w:cs="Arial"/>
          <w:b/>
          <w:szCs w:val="28"/>
          <w:bdr w:val="nil"/>
        </w:rPr>
        <w:t>Oracle Fusion Data Breach</w:t>
      </w:r>
    </w:p>
    <w:p w14:paraId="519CF7C2" w14:textId="77777777" w:rsidR="005E1B56" w:rsidRDefault="005E1B56" w:rsidP="00844118"/>
    <w:p w14:paraId="0DD99CAE" w14:textId="77777777" w:rsidR="005E1B56" w:rsidRPr="007C4AD5" w:rsidRDefault="007166EC" w:rsidP="005E1B56">
      <w:pPr>
        <w:jc w:val="both"/>
      </w:pPr>
      <w:r>
        <w:t>(Not for Publication – Exempt information as defined in Paragraphs 3 and 7 of Part 1 of Schedule 12A to the Local Government Act, 1972. It is considered that in all the circumstances of the case the public interest in maintaining the exemption outweighs the public interests in disclosing the information).</w:t>
      </w:r>
    </w:p>
    <w:p w14:paraId="705C7276" w14:textId="77777777" w:rsidR="005E1B56" w:rsidRDefault="005E1B56" w:rsidP="005E1B56"/>
    <w:p w14:paraId="259FFC00" w14:textId="77777777" w:rsidR="005E1B56" w:rsidRDefault="007166EC" w:rsidP="005E1B56">
      <w:pPr>
        <w:jc w:val="both"/>
      </w:pPr>
      <w:r>
        <w:t>The committee considered a private and confidential report on the Oracle Fusion data breaches reported to the Information Commissioner's Office and the steps taken by the county council in response, presented by Jo Winston, Information Governance Manager.</w:t>
      </w:r>
    </w:p>
    <w:p w14:paraId="05934B78" w14:textId="77777777" w:rsidR="005E1B56" w:rsidRDefault="005E1B56" w:rsidP="005E1B56">
      <w:pPr>
        <w:jc w:val="both"/>
      </w:pPr>
    </w:p>
    <w:p w14:paraId="7EC2E84C" w14:textId="77777777" w:rsidR="0006363F" w:rsidRDefault="0006363F" w:rsidP="005E1B56">
      <w:pPr>
        <w:jc w:val="both"/>
      </w:pPr>
    </w:p>
    <w:p w14:paraId="1656A42C" w14:textId="77777777" w:rsidR="0006363F" w:rsidRDefault="0006363F" w:rsidP="005E1B56">
      <w:pPr>
        <w:jc w:val="both"/>
      </w:pPr>
    </w:p>
    <w:p w14:paraId="14E4E981" w14:textId="77777777" w:rsidR="005E1B56" w:rsidRDefault="007166EC" w:rsidP="005E1B56">
      <w:pPr>
        <w:jc w:val="both"/>
      </w:pPr>
      <w:r>
        <w:rPr>
          <w:b/>
          <w:bCs w:val="0"/>
        </w:rPr>
        <w:t xml:space="preserve">Resolved: </w:t>
      </w:r>
      <w:r>
        <w:t>That</w:t>
      </w:r>
    </w:p>
    <w:p w14:paraId="2CDEB236" w14:textId="77777777" w:rsidR="005E1B56" w:rsidRDefault="005E1B56" w:rsidP="005E1B56">
      <w:pPr>
        <w:jc w:val="both"/>
      </w:pPr>
    </w:p>
    <w:p w14:paraId="76678BDE" w14:textId="77777777" w:rsidR="005E1B56" w:rsidRDefault="007166EC" w:rsidP="005E1B56">
      <w:pPr>
        <w:numPr>
          <w:ilvl w:val="0"/>
          <w:numId w:val="8"/>
        </w:numPr>
        <w:ind w:left="720" w:hanging="720"/>
        <w:jc w:val="both"/>
      </w:pPr>
      <w:r>
        <w:t>The report on the Oracle Fusion Data Breach be noted; and</w:t>
      </w:r>
    </w:p>
    <w:p w14:paraId="7D6DC412" w14:textId="77777777" w:rsidR="005E1B56" w:rsidRDefault="005E1B56" w:rsidP="005E1B56">
      <w:pPr>
        <w:ind w:left="720"/>
        <w:jc w:val="both"/>
      </w:pPr>
    </w:p>
    <w:p w14:paraId="7707F3A0" w14:textId="77777777" w:rsidR="005E1B56" w:rsidRPr="005E1B56" w:rsidRDefault="007166EC" w:rsidP="005E1B56">
      <w:pPr>
        <w:numPr>
          <w:ilvl w:val="0"/>
          <w:numId w:val="8"/>
        </w:numPr>
        <w:ind w:left="720" w:hanging="720"/>
        <w:jc w:val="both"/>
        <w:rPr>
          <w:color w:val="FF0000"/>
        </w:rPr>
      </w:pPr>
      <w:r>
        <w:t>A further report on ongoing actions be provided at the Audit, Risk and Governance Committee meeting on 16 October 2023, or sooner if considered necessary by officers.</w:t>
      </w:r>
    </w:p>
    <w:p w14:paraId="071A4288" w14:textId="77777777" w:rsidR="005E1B56" w:rsidRPr="00844118" w:rsidRDefault="005E1B56" w:rsidP="00844118"/>
    <w:sectPr w:rsidR="005E1B56" w:rsidRPr="00844118" w:rsidSect="00C756A1">
      <w:footerReference w:type="even" r:id="rId8"/>
      <w:footerReference w:type="default" r:id="rId9"/>
      <w:headerReference w:type="first" r:id="rId10"/>
      <w:footerReference w:type="first" r:id="rId11"/>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25A6" w14:textId="77777777" w:rsidR="00A04F25" w:rsidRDefault="007166EC">
      <w:r>
        <w:separator/>
      </w:r>
    </w:p>
  </w:endnote>
  <w:endnote w:type="continuationSeparator" w:id="0">
    <w:p w14:paraId="53500439" w14:textId="77777777" w:rsidR="00A04F25" w:rsidRDefault="0071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0436" w14:textId="77777777" w:rsidR="00D74129" w:rsidRDefault="007166EC"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933D25"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D90" w14:textId="77777777"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B29B5" w14:paraId="779799B2" w14:textId="77777777">
      <w:tc>
        <w:tcPr>
          <w:tcW w:w="9243" w:type="dxa"/>
          <w:tcBorders>
            <w:top w:val="nil"/>
            <w:left w:val="nil"/>
            <w:bottom w:val="nil"/>
            <w:right w:val="nil"/>
          </w:tcBorders>
        </w:tcPr>
        <w:p w14:paraId="636011CC" w14:textId="77777777" w:rsidR="00DF043B" w:rsidRDefault="007166EC">
          <w:pPr>
            <w:pStyle w:val="Footer"/>
            <w:tabs>
              <w:tab w:val="clear" w:pos="4153"/>
            </w:tabs>
            <w:ind w:right="-45"/>
            <w:jc w:val="right"/>
          </w:pPr>
          <w:r>
            <w:rPr>
              <w:noProof/>
            </w:rPr>
            <w:drawing>
              <wp:anchor distT="0" distB="0" distL="114300" distR="114300" simplePos="0" relativeHeight="251658240" behindDoc="1" locked="0" layoutInCell="1" allowOverlap="1" wp14:anchorId="6165150C" wp14:editId="7DE565C4">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960103"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0DF032A9"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9F08" w14:textId="77777777"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B29B5" w14:paraId="44AF7792" w14:textId="77777777">
      <w:tc>
        <w:tcPr>
          <w:tcW w:w="9243" w:type="dxa"/>
          <w:tcBorders>
            <w:top w:val="nil"/>
            <w:left w:val="nil"/>
            <w:bottom w:val="nil"/>
            <w:right w:val="nil"/>
          </w:tcBorders>
        </w:tcPr>
        <w:p w14:paraId="6EF4E985" w14:textId="77777777" w:rsidR="0036487C" w:rsidRDefault="0036487C" w:rsidP="004D419B">
          <w:pPr>
            <w:pStyle w:val="Footer"/>
            <w:tabs>
              <w:tab w:val="clear" w:pos="4153"/>
            </w:tabs>
            <w:ind w:right="-45"/>
            <w:jc w:val="right"/>
          </w:pPr>
        </w:p>
      </w:tc>
    </w:tr>
  </w:tbl>
  <w:p w14:paraId="1A8AF761" w14:textId="77777777" w:rsidR="00DF043B" w:rsidRPr="0036487C" w:rsidRDefault="007166EC" w:rsidP="0036487C">
    <w:pPr>
      <w:pStyle w:val="Footer"/>
    </w:pPr>
    <w:r>
      <w:rPr>
        <w:noProof/>
      </w:rPr>
      <w:drawing>
        <wp:anchor distT="0" distB="0" distL="114300" distR="114300" simplePos="0" relativeHeight="251659264" behindDoc="1" locked="0" layoutInCell="1" allowOverlap="1" wp14:anchorId="3FF60A11" wp14:editId="5CED06AA">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406296"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0332" w14:textId="77777777" w:rsidR="00A04F25" w:rsidRDefault="007166EC">
      <w:r>
        <w:separator/>
      </w:r>
    </w:p>
  </w:footnote>
  <w:footnote w:type="continuationSeparator" w:id="0">
    <w:p w14:paraId="68018F60" w14:textId="77777777" w:rsidR="00A04F25" w:rsidRDefault="00716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3260" w14:textId="77777777" w:rsidR="00841033" w:rsidRDefault="007166EC">
    <w:pPr>
      <w:pStyle w:val="Header"/>
    </w:pPr>
    <w:r>
      <w:rPr>
        <w:noProof/>
      </w:rPr>
      <w:drawing>
        <wp:anchor distT="0" distB="0" distL="114300" distR="114300" simplePos="0" relativeHeight="251660288" behindDoc="1" locked="0" layoutInCell="1" allowOverlap="1" wp14:anchorId="647E0C6F" wp14:editId="52AFDE75">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014117"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45B"/>
    <w:multiLevelType w:val="hybridMultilevel"/>
    <w:tmpl w:val="5F687E96"/>
    <w:lvl w:ilvl="0" w:tplc="13FE4FA6">
      <w:start w:val="1"/>
      <w:numFmt w:val="lowerRoman"/>
      <w:lvlText w:val="%1)"/>
      <w:lvlJc w:val="left"/>
      <w:pPr>
        <w:ind w:left="720" w:hanging="720"/>
      </w:pPr>
      <w:rPr>
        <w:rFonts w:hint="default"/>
      </w:rPr>
    </w:lvl>
    <w:lvl w:ilvl="1" w:tplc="EAF2DF1E" w:tentative="1">
      <w:start w:val="1"/>
      <w:numFmt w:val="lowerLetter"/>
      <w:lvlText w:val="%2."/>
      <w:lvlJc w:val="left"/>
      <w:pPr>
        <w:ind w:left="1080" w:hanging="360"/>
      </w:pPr>
    </w:lvl>
    <w:lvl w:ilvl="2" w:tplc="12F472A2" w:tentative="1">
      <w:start w:val="1"/>
      <w:numFmt w:val="lowerRoman"/>
      <w:lvlText w:val="%3."/>
      <w:lvlJc w:val="right"/>
      <w:pPr>
        <w:ind w:left="1800" w:hanging="180"/>
      </w:pPr>
    </w:lvl>
    <w:lvl w:ilvl="3" w:tplc="2558F146" w:tentative="1">
      <w:start w:val="1"/>
      <w:numFmt w:val="decimal"/>
      <w:lvlText w:val="%4."/>
      <w:lvlJc w:val="left"/>
      <w:pPr>
        <w:ind w:left="2520" w:hanging="360"/>
      </w:pPr>
    </w:lvl>
    <w:lvl w:ilvl="4" w:tplc="A8126730" w:tentative="1">
      <w:start w:val="1"/>
      <w:numFmt w:val="lowerLetter"/>
      <w:lvlText w:val="%5."/>
      <w:lvlJc w:val="left"/>
      <w:pPr>
        <w:ind w:left="3240" w:hanging="360"/>
      </w:pPr>
    </w:lvl>
    <w:lvl w:ilvl="5" w:tplc="2EFE11DE" w:tentative="1">
      <w:start w:val="1"/>
      <w:numFmt w:val="lowerRoman"/>
      <w:lvlText w:val="%6."/>
      <w:lvlJc w:val="right"/>
      <w:pPr>
        <w:ind w:left="3960" w:hanging="180"/>
      </w:pPr>
    </w:lvl>
    <w:lvl w:ilvl="6" w:tplc="C0BC9C30" w:tentative="1">
      <w:start w:val="1"/>
      <w:numFmt w:val="decimal"/>
      <w:lvlText w:val="%7."/>
      <w:lvlJc w:val="left"/>
      <w:pPr>
        <w:ind w:left="4680" w:hanging="360"/>
      </w:pPr>
    </w:lvl>
    <w:lvl w:ilvl="7" w:tplc="87C4E9BC" w:tentative="1">
      <w:start w:val="1"/>
      <w:numFmt w:val="lowerLetter"/>
      <w:lvlText w:val="%8."/>
      <w:lvlJc w:val="left"/>
      <w:pPr>
        <w:ind w:left="5400" w:hanging="360"/>
      </w:pPr>
    </w:lvl>
    <w:lvl w:ilvl="8" w:tplc="76EA5CAC" w:tentative="1">
      <w:start w:val="1"/>
      <w:numFmt w:val="lowerRoman"/>
      <w:lvlText w:val="%9."/>
      <w:lvlJc w:val="right"/>
      <w:pPr>
        <w:ind w:left="6120" w:hanging="180"/>
      </w:pPr>
    </w:lvl>
  </w:abstractNum>
  <w:abstractNum w:abstractNumId="1"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5E40697"/>
    <w:multiLevelType w:val="hybridMultilevel"/>
    <w:tmpl w:val="613CCEFA"/>
    <w:lvl w:ilvl="0" w:tplc="5FE8A044">
      <w:start w:val="1"/>
      <w:numFmt w:val="decimal"/>
      <w:lvlText w:val="%1."/>
      <w:lvlJc w:val="left"/>
      <w:pPr>
        <w:ind w:left="720" w:hanging="360"/>
      </w:pPr>
      <w:rPr>
        <w:b/>
        <w:bCs w:val="0"/>
      </w:rPr>
    </w:lvl>
    <w:lvl w:ilvl="1" w:tplc="DA8A78D0" w:tentative="1">
      <w:start w:val="1"/>
      <w:numFmt w:val="lowerLetter"/>
      <w:lvlText w:val="%2."/>
      <w:lvlJc w:val="left"/>
      <w:pPr>
        <w:ind w:left="1440" w:hanging="360"/>
      </w:pPr>
    </w:lvl>
    <w:lvl w:ilvl="2" w:tplc="672C58F6" w:tentative="1">
      <w:start w:val="1"/>
      <w:numFmt w:val="lowerRoman"/>
      <w:lvlText w:val="%3."/>
      <w:lvlJc w:val="right"/>
      <w:pPr>
        <w:ind w:left="2160" w:hanging="180"/>
      </w:pPr>
    </w:lvl>
    <w:lvl w:ilvl="3" w:tplc="3AFC60A6" w:tentative="1">
      <w:start w:val="1"/>
      <w:numFmt w:val="decimal"/>
      <w:lvlText w:val="%4."/>
      <w:lvlJc w:val="left"/>
      <w:pPr>
        <w:ind w:left="2880" w:hanging="360"/>
      </w:pPr>
    </w:lvl>
    <w:lvl w:ilvl="4" w:tplc="3F12F3D8" w:tentative="1">
      <w:start w:val="1"/>
      <w:numFmt w:val="lowerLetter"/>
      <w:lvlText w:val="%5."/>
      <w:lvlJc w:val="left"/>
      <w:pPr>
        <w:ind w:left="3600" w:hanging="360"/>
      </w:pPr>
    </w:lvl>
    <w:lvl w:ilvl="5" w:tplc="5FFA6C52" w:tentative="1">
      <w:start w:val="1"/>
      <w:numFmt w:val="lowerRoman"/>
      <w:lvlText w:val="%6."/>
      <w:lvlJc w:val="right"/>
      <w:pPr>
        <w:ind w:left="4320" w:hanging="180"/>
      </w:pPr>
    </w:lvl>
    <w:lvl w:ilvl="6" w:tplc="225EC3FE" w:tentative="1">
      <w:start w:val="1"/>
      <w:numFmt w:val="decimal"/>
      <w:lvlText w:val="%7."/>
      <w:lvlJc w:val="left"/>
      <w:pPr>
        <w:ind w:left="5040" w:hanging="360"/>
      </w:pPr>
    </w:lvl>
    <w:lvl w:ilvl="7" w:tplc="8BB4E94E" w:tentative="1">
      <w:start w:val="1"/>
      <w:numFmt w:val="lowerLetter"/>
      <w:lvlText w:val="%8."/>
      <w:lvlJc w:val="left"/>
      <w:pPr>
        <w:ind w:left="5760" w:hanging="360"/>
      </w:pPr>
    </w:lvl>
    <w:lvl w:ilvl="8" w:tplc="1DE2B25A" w:tentative="1">
      <w:start w:val="1"/>
      <w:numFmt w:val="lowerRoman"/>
      <w:lvlText w:val="%9."/>
      <w:lvlJc w:val="right"/>
      <w:pPr>
        <w:ind w:left="6480" w:hanging="180"/>
      </w:pPr>
    </w:lvl>
  </w:abstractNum>
  <w:abstractNum w:abstractNumId="3" w15:restartNumberingAfterBreak="0">
    <w:nsid w:val="22EC6C33"/>
    <w:multiLevelType w:val="hybridMultilevel"/>
    <w:tmpl w:val="3F0287B6"/>
    <w:lvl w:ilvl="0" w:tplc="E910B75E">
      <w:start w:val="1"/>
      <w:numFmt w:val="lowerRoman"/>
      <w:lvlText w:val="%1)"/>
      <w:lvlJc w:val="left"/>
      <w:pPr>
        <w:ind w:left="720" w:hanging="720"/>
      </w:pPr>
      <w:rPr>
        <w:rFonts w:hint="default"/>
      </w:rPr>
    </w:lvl>
    <w:lvl w:ilvl="1" w:tplc="173E03B8" w:tentative="1">
      <w:start w:val="1"/>
      <w:numFmt w:val="lowerLetter"/>
      <w:lvlText w:val="%2."/>
      <w:lvlJc w:val="left"/>
      <w:pPr>
        <w:ind w:left="1080" w:hanging="360"/>
      </w:pPr>
    </w:lvl>
    <w:lvl w:ilvl="2" w:tplc="2C448652" w:tentative="1">
      <w:start w:val="1"/>
      <w:numFmt w:val="lowerRoman"/>
      <w:lvlText w:val="%3."/>
      <w:lvlJc w:val="right"/>
      <w:pPr>
        <w:ind w:left="1800" w:hanging="180"/>
      </w:pPr>
    </w:lvl>
    <w:lvl w:ilvl="3" w:tplc="7FA41BC8" w:tentative="1">
      <w:start w:val="1"/>
      <w:numFmt w:val="decimal"/>
      <w:lvlText w:val="%4."/>
      <w:lvlJc w:val="left"/>
      <w:pPr>
        <w:ind w:left="2520" w:hanging="360"/>
      </w:pPr>
    </w:lvl>
    <w:lvl w:ilvl="4" w:tplc="2CCE3980" w:tentative="1">
      <w:start w:val="1"/>
      <w:numFmt w:val="lowerLetter"/>
      <w:lvlText w:val="%5."/>
      <w:lvlJc w:val="left"/>
      <w:pPr>
        <w:ind w:left="3240" w:hanging="360"/>
      </w:pPr>
    </w:lvl>
    <w:lvl w:ilvl="5" w:tplc="36E07F4C" w:tentative="1">
      <w:start w:val="1"/>
      <w:numFmt w:val="lowerRoman"/>
      <w:lvlText w:val="%6."/>
      <w:lvlJc w:val="right"/>
      <w:pPr>
        <w:ind w:left="3960" w:hanging="180"/>
      </w:pPr>
    </w:lvl>
    <w:lvl w:ilvl="6" w:tplc="114AB706" w:tentative="1">
      <w:start w:val="1"/>
      <w:numFmt w:val="decimal"/>
      <w:lvlText w:val="%7."/>
      <w:lvlJc w:val="left"/>
      <w:pPr>
        <w:ind w:left="4680" w:hanging="360"/>
      </w:pPr>
    </w:lvl>
    <w:lvl w:ilvl="7" w:tplc="D0003064" w:tentative="1">
      <w:start w:val="1"/>
      <w:numFmt w:val="lowerLetter"/>
      <w:lvlText w:val="%8."/>
      <w:lvlJc w:val="left"/>
      <w:pPr>
        <w:ind w:left="5400" w:hanging="360"/>
      </w:pPr>
    </w:lvl>
    <w:lvl w:ilvl="8" w:tplc="BEE00B5C" w:tentative="1">
      <w:start w:val="1"/>
      <w:numFmt w:val="lowerRoman"/>
      <w:lvlText w:val="%9."/>
      <w:lvlJc w:val="right"/>
      <w:pPr>
        <w:ind w:left="6120" w:hanging="180"/>
      </w:pPr>
    </w:lvl>
  </w:abstractNum>
  <w:abstractNum w:abstractNumId="4" w15:restartNumberingAfterBreak="0">
    <w:nsid w:val="24F50B23"/>
    <w:multiLevelType w:val="hybridMultilevel"/>
    <w:tmpl w:val="4784E8FC"/>
    <w:lvl w:ilvl="0" w:tplc="2CBED2B6">
      <w:start w:val="1"/>
      <w:numFmt w:val="lowerRoman"/>
      <w:lvlText w:val="%1)"/>
      <w:lvlJc w:val="left"/>
      <w:pPr>
        <w:ind w:left="720" w:hanging="720"/>
      </w:pPr>
      <w:rPr>
        <w:rFonts w:hint="default"/>
      </w:rPr>
    </w:lvl>
    <w:lvl w:ilvl="1" w:tplc="12722484" w:tentative="1">
      <w:start w:val="1"/>
      <w:numFmt w:val="lowerLetter"/>
      <w:lvlText w:val="%2."/>
      <w:lvlJc w:val="left"/>
      <w:pPr>
        <w:ind w:left="1080" w:hanging="360"/>
      </w:pPr>
    </w:lvl>
    <w:lvl w:ilvl="2" w:tplc="45CAC0FC" w:tentative="1">
      <w:start w:val="1"/>
      <w:numFmt w:val="lowerRoman"/>
      <w:lvlText w:val="%3."/>
      <w:lvlJc w:val="right"/>
      <w:pPr>
        <w:ind w:left="1800" w:hanging="180"/>
      </w:pPr>
    </w:lvl>
    <w:lvl w:ilvl="3" w:tplc="07940F2E" w:tentative="1">
      <w:start w:val="1"/>
      <w:numFmt w:val="decimal"/>
      <w:lvlText w:val="%4."/>
      <w:lvlJc w:val="left"/>
      <w:pPr>
        <w:ind w:left="2520" w:hanging="360"/>
      </w:pPr>
    </w:lvl>
    <w:lvl w:ilvl="4" w:tplc="D7462DF0" w:tentative="1">
      <w:start w:val="1"/>
      <w:numFmt w:val="lowerLetter"/>
      <w:lvlText w:val="%5."/>
      <w:lvlJc w:val="left"/>
      <w:pPr>
        <w:ind w:left="3240" w:hanging="360"/>
      </w:pPr>
    </w:lvl>
    <w:lvl w:ilvl="5" w:tplc="B1105F84" w:tentative="1">
      <w:start w:val="1"/>
      <w:numFmt w:val="lowerRoman"/>
      <w:lvlText w:val="%6."/>
      <w:lvlJc w:val="right"/>
      <w:pPr>
        <w:ind w:left="3960" w:hanging="180"/>
      </w:pPr>
    </w:lvl>
    <w:lvl w:ilvl="6" w:tplc="EA2EA5FA" w:tentative="1">
      <w:start w:val="1"/>
      <w:numFmt w:val="decimal"/>
      <w:lvlText w:val="%7."/>
      <w:lvlJc w:val="left"/>
      <w:pPr>
        <w:ind w:left="4680" w:hanging="360"/>
      </w:pPr>
    </w:lvl>
    <w:lvl w:ilvl="7" w:tplc="13A02D8A" w:tentative="1">
      <w:start w:val="1"/>
      <w:numFmt w:val="lowerLetter"/>
      <w:lvlText w:val="%8."/>
      <w:lvlJc w:val="left"/>
      <w:pPr>
        <w:ind w:left="5400" w:hanging="360"/>
      </w:pPr>
    </w:lvl>
    <w:lvl w:ilvl="8" w:tplc="77F44C7C" w:tentative="1">
      <w:start w:val="1"/>
      <w:numFmt w:val="lowerRoman"/>
      <w:lvlText w:val="%9."/>
      <w:lvlJc w:val="right"/>
      <w:pPr>
        <w:ind w:left="6120" w:hanging="180"/>
      </w:pPr>
    </w:lvl>
  </w:abstractNum>
  <w:abstractNum w:abstractNumId="5" w15:restartNumberingAfterBreak="0">
    <w:nsid w:val="31CA5D01"/>
    <w:multiLevelType w:val="hybridMultilevel"/>
    <w:tmpl w:val="B04AB914"/>
    <w:lvl w:ilvl="0" w:tplc="62F85CB2">
      <w:start w:val="1"/>
      <w:numFmt w:val="lowerRoman"/>
      <w:lvlText w:val="%1)"/>
      <w:lvlJc w:val="left"/>
      <w:rPr>
        <w:rFonts w:hint="default"/>
        <w:color w:val="auto"/>
      </w:rPr>
    </w:lvl>
    <w:lvl w:ilvl="1" w:tplc="83F26C80" w:tentative="1">
      <w:start w:val="1"/>
      <w:numFmt w:val="lowerLetter"/>
      <w:lvlText w:val="%2."/>
      <w:lvlJc w:val="left"/>
      <w:pPr>
        <w:ind w:left="1080" w:hanging="360"/>
      </w:pPr>
    </w:lvl>
    <w:lvl w:ilvl="2" w:tplc="E9D65AF2" w:tentative="1">
      <w:start w:val="1"/>
      <w:numFmt w:val="lowerRoman"/>
      <w:lvlText w:val="%3."/>
      <w:lvlJc w:val="right"/>
      <w:pPr>
        <w:ind w:left="1800" w:hanging="180"/>
      </w:pPr>
    </w:lvl>
    <w:lvl w:ilvl="3" w:tplc="5E56718C" w:tentative="1">
      <w:start w:val="1"/>
      <w:numFmt w:val="decimal"/>
      <w:lvlText w:val="%4."/>
      <w:lvlJc w:val="left"/>
      <w:pPr>
        <w:ind w:left="2520" w:hanging="360"/>
      </w:pPr>
    </w:lvl>
    <w:lvl w:ilvl="4" w:tplc="7EFC0E9A" w:tentative="1">
      <w:start w:val="1"/>
      <w:numFmt w:val="lowerLetter"/>
      <w:lvlText w:val="%5."/>
      <w:lvlJc w:val="left"/>
      <w:pPr>
        <w:ind w:left="3240" w:hanging="360"/>
      </w:pPr>
    </w:lvl>
    <w:lvl w:ilvl="5" w:tplc="90327708" w:tentative="1">
      <w:start w:val="1"/>
      <w:numFmt w:val="lowerRoman"/>
      <w:lvlText w:val="%6."/>
      <w:lvlJc w:val="right"/>
      <w:pPr>
        <w:ind w:left="3960" w:hanging="180"/>
      </w:pPr>
    </w:lvl>
    <w:lvl w:ilvl="6" w:tplc="DB641768" w:tentative="1">
      <w:start w:val="1"/>
      <w:numFmt w:val="decimal"/>
      <w:lvlText w:val="%7."/>
      <w:lvlJc w:val="left"/>
      <w:pPr>
        <w:ind w:left="4680" w:hanging="360"/>
      </w:pPr>
    </w:lvl>
    <w:lvl w:ilvl="7" w:tplc="67EE9424" w:tentative="1">
      <w:start w:val="1"/>
      <w:numFmt w:val="lowerLetter"/>
      <w:lvlText w:val="%8."/>
      <w:lvlJc w:val="left"/>
      <w:pPr>
        <w:ind w:left="5400" w:hanging="360"/>
      </w:pPr>
    </w:lvl>
    <w:lvl w:ilvl="8" w:tplc="9FDC2D58" w:tentative="1">
      <w:start w:val="1"/>
      <w:numFmt w:val="lowerRoman"/>
      <w:lvlText w:val="%9."/>
      <w:lvlJc w:val="right"/>
      <w:pPr>
        <w:ind w:left="6120" w:hanging="180"/>
      </w:pPr>
    </w:lvl>
  </w:abstractNum>
  <w:abstractNum w:abstractNumId="6"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61049184">
    <w:abstractNumId w:val="6"/>
  </w:num>
  <w:num w:numId="2" w16cid:durableId="220290416">
    <w:abstractNumId w:val="1"/>
  </w:num>
  <w:num w:numId="3" w16cid:durableId="1388188494">
    <w:abstractNumId w:val="1"/>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16cid:durableId="227808055">
    <w:abstractNumId w:val="2"/>
  </w:num>
  <w:num w:numId="5" w16cid:durableId="241565706">
    <w:abstractNumId w:val="3"/>
  </w:num>
  <w:num w:numId="6" w16cid:durableId="1447503247">
    <w:abstractNumId w:val="4"/>
  </w:num>
  <w:num w:numId="7" w16cid:durableId="1141188414">
    <w:abstractNumId w:val="0"/>
  </w:num>
  <w:num w:numId="8" w16cid:durableId="262735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44FB9"/>
    <w:rsid w:val="0006363F"/>
    <w:rsid w:val="000955FB"/>
    <w:rsid w:val="000E24D7"/>
    <w:rsid w:val="00136344"/>
    <w:rsid w:val="00192EE0"/>
    <w:rsid w:val="00245237"/>
    <w:rsid w:val="0026742E"/>
    <w:rsid w:val="00273AE7"/>
    <w:rsid w:val="002A44DA"/>
    <w:rsid w:val="002B01EB"/>
    <w:rsid w:val="002B7F8E"/>
    <w:rsid w:val="003032CE"/>
    <w:rsid w:val="003209AD"/>
    <w:rsid w:val="003254F5"/>
    <w:rsid w:val="0036387E"/>
    <w:rsid w:val="0036487C"/>
    <w:rsid w:val="003673AB"/>
    <w:rsid w:val="003A0AFD"/>
    <w:rsid w:val="003E73EC"/>
    <w:rsid w:val="00401E99"/>
    <w:rsid w:val="0040331B"/>
    <w:rsid w:val="004227B7"/>
    <w:rsid w:val="0047244C"/>
    <w:rsid w:val="0048685D"/>
    <w:rsid w:val="004B4931"/>
    <w:rsid w:val="004D21A8"/>
    <w:rsid w:val="004D419B"/>
    <w:rsid w:val="004E138E"/>
    <w:rsid w:val="004F0E44"/>
    <w:rsid w:val="005058AE"/>
    <w:rsid w:val="005A350B"/>
    <w:rsid w:val="005E1B56"/>
    <w:rsid w:val="0060036F"/>
    <w:rsid w:val="00626F7D"/>
    <w:rsid w:val="0063105A"/>
    <w:rsid w:val="00655131"/>
    <w:rsid w:val="00670BC1"/>
    <w:rsid w:val="00673CA9"/>
    <w:rsid w:val="006D4D2A"/>
    <w:rsid w:val="006F0238"/>
    <w:rsid w:val="00701D64"/>
    <w:rsid w:val="00707981"/>
    <w:rsid w:val="007166EC"/>
    <w:rsid w:val="00777E5E"/>
    <w:rsid w:val="00782B20"/>
    <w:rsid w:val="007B62B5"/>
    <w:rsid w:val="007C3C64"/>
    <w:rsid w:val="007C4AD5"/>
    <w:rsid w:val="00804D11"/>
    <w:rsid w:val="00805829"/>
    <w:rsid w:val="00841033"/>
    <w:rsid w:val="00844118"/>
    <w:rsid w:val="00846540"/>
    <w:rsid w:val="00856953"/>
    <w:rsid w:val="00864579"/>
    <w:rsid w:val="0088697C"/>
    <w:rsid w:val="008B1D24"/>
    <w:rsid w:val="008E3BC3"/>
    <w:rsid w:val="00911715"/>
    <w:rsid w:val="009A010E"/>
    <w:rsid w:val="009B19B0"/>
    <w:rsid w:val="009F68C6"/>
    <w:rsid w:val="00A04F25"/>
    <w:rsid w:val="00A24E12"/>
    <w:rsid w:val="00A2745C"/>
    <w:rsid w:val="00A71CC6"/>
    <w:rsid w:val="00AF3C5C"/>
    <w:rsid w:val="00B51A14"/>
    <w:rsid w:val="00B52950"/>
    <w:rsid w:val="00B65EBD"/>
    <w:rsid w:val="00BA5465"/>
    <w:rsid w:val="00BC6390"/>
    <w:rsid w:val="00C2502A"/>
    <w:rsid w:val="00C45BF7"/>
    <w:rsid w:val="00C520A5"/>
    <w:rsid w:val="00C756A1"/>
    <w:rsid w:val="00CB29B5"/>
    <w:rsid w:val="00CE2C12"/>
    <w:rsid w:val="00CF7BC0"/>
    <w:rsid w:val="00D002CC"/>
    <w:rsid w:val="00D03636"/>
    <w:rsid w:val="00D50DF0"/>
    <w:rsid w:val="00D648E4"/>
    <w:rsid w:val="00D74129"/>
    <w:rsid w:val="00D7521D"/>
    <w:rsid w:val="00D7557F"/>
    <w:rsid w:val="00DA6F1A"/>
    <w:rsid w:val="00DC5683"/>
    <w:rsid w:val="00DF043B"/>
    <w:rsid w:val="00DF2594"/>
    <w:rsid w:val="00E16E4D"/>
    <w:rsid w:val="00E20250"/>
    <w:rsid w:val="00E5514B"/>
    <w:rsid w:val="00EA2E9A"/>
    <w:rsid w:val="00EC2716"/>
    <w:rsid w:val="00EF0E1B"/>
    <w:rsid w:val="00F30F65"/>
    <w:rsid w:val="00FA6C1E"/>
    <w:rsid w:val="00FB0AA1"/>
    <w:rsid w:val="00FB0C96"/>
    <w:rsid w:val="00FC04A2"/>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359FC"/>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5E1B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38</TotalTime>
  <Pages>4</Pages>
  <Words>873</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Gorman, Dave</cp:lastModifiedBy>
  <cp:revision>6</cp:revision>
  <cp:lastPrinted>2002-06-26T11:27:00Z</cp:lastPrinted>
  <dcterms:created xsi:type="dcterms:W3CDTF">2022-11-16T18:32:00Z</dcterms:created>
  <dcterms:modified xsi:type="dcterms:W3CDTF">2023-04-26T16:43:00Z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The Audit, Risk and Governance Committee</vt:lpwstr>
  </property>
  <property fmtid="{D5CDD505-2E9C-101B-9397-08002B2CF9AE}" pid="7" name="LeadDirector">
    <vt:lpwstr>Director of Corporate Services</vt:lpwstr>
  </property>
  <property fmtid="{D5CDD505-2E9C-101B-9397-08002B2CF9AE}" pid="8" name="LeadOfficer">
    <vt:lpwstr>Hannah Race</vt:lpwstr>
  </property>
  <property fmtid="{D5CDD505-2E9C-101B-9397-08002B2CF9AE}" pid="9" name="LeadOfficerEmail">
    <vt:lpwstr>Hannah.Race@lancashire.gov.uk</vt:lpwstr>
  </property>
  <property fmtid="{D5CDD505-2E9C-101B-9397-08002B2CF9AE}" pid="10" name="LeadOfficerTel">
    <vt:lpwstr/>
  </property>
  <property fmtid="{D5CDD505-2E9C-101B-9397-08002B2CF9AE}" pid="11" name="MeetingDate">
    <vt:lpwstr>Thursday, 25 May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N/A;</vt:lpwstr>
  </property>
</Properties>
</file>